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A7" w:rsidRDefault="00063644" w:rsidP="00C22683">
      <w:pPr>
        <w:pStyle w:val="a3"/>
        <w:jc w:val="center"/>
        <w:rPr>
          <w:lang w:val="uk-UA"/>
        </w:rPr>
      </w:pPr>
      <w:r>
        <w:rPr>
          <w:lang w:val="uk-UA"/>
        </w:rPr>
        <w:t>Критерії оцінювання якості знань абітурієнтів</w:t>
      </w:r>
      <w:r w:rsidR="00C22683">
        <w:rPr>
          <w:lang w:val="uk-UA"/>
        </w:rPr>
        <w:t xml:space="preserve"> </w:t>
      </w:r>
    </w:p>
    <w:p w:rsidR="00C6143F" w:rsidRDefault="00C22683" w:rsidP="00C22683">
      <w:pPr>
        <w:pStyle w:val="a3"/>
        <w:jc w:val="center"/>
        <w:rPr>
          <w:lang w:val="uk-UA"/>
        </w:rPr>
      </w:pPr>
      <w:r>
        <w:rPr>
          <w:lang w:val="uk-UA"/>
        </w:rPr>
        <w:t>спеціалізації "</w:t>
      </w:r>
      <w:r w:rsidR="0033105D">
        <w:rPr>
          <w:lang w:val="uk-UA"/>
        </w:rPr>
        <w:t>Народні</w:t>
      </w:r>
      <w:r w:rsidR="00D16899">
        <w:rPr>
          <w:lang w:val="uk-UA"/>
        </w:rPr>
        <w:t xml:space="preserve"> інструменти</w:t>
      </w:r>
      <w:r>
        <w:rPr>
          <w:lang w:val="uk-UA"/>
        </w:rPr>
        <w:t>"</w:t>
      </w:r>
      <w:r w:rsidR="0013408E">
        <w:rPr>
          <w:lang w:val="uk-UA"/>
        </w:rPr>
        <w:t xml:space="preserve"> (струнні: </w:t>
      </w:r>
      <w:proofErr w:type="spellStart"/>
      <w:r w:rsidR="0013408E">
        <w:rPr>
          <w:lang w:val="uk-UA"/>
        </w:rPr>
        <w:t>домра,балалайка,гітара,бандура</w:t>
      </w:r>
      <w:proofErr w:type="spellEnd"/>
      <w:r w:rsidR="0033105D">
        <w:rPr>
          <w:lang w:val="uk-UA"/>
        </w:rPr>
        <w:t>)</w:t>
      </w:r>
      <w:r w:rsidR="0013408E">
        <w:rPr>
          <w:lang w:val="uk-UA"/>
        </w:rPr>
        <w:t>.</w:t>
      </w:r>
    </w:p>
    <w:p w:rsidR="0013512B" w:rsidRPr="00E63F9F" w:rsidRDefault="0013512B" w:rsidP="00C22683">
      <w:pPr>
        <w:pStyle w:val="a3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5953"/>
      </w:tblGrid>
      <w:tr w:rsidR="00063644" w:rsidTr="00EA5EE2">
        <w:tc>
          <w:tcPr>
            <w:tcW w:w="1277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 xml:space="preserve">5-бальна </w:t>
            </w:r>
            <w:r w:rsidRPr="002C1728">
              <w:rPr>
                <w:sz w:val="20"/>
                <w:szCs w:val="20"/>
                <w:lang w:val="uk-UA"/>
              </w:rPr>
              <w:br/>
              <w:t>шкала оцінювання</w:t>
            </w:r>
          </w:p>
        </w:tc>
        <w:tc>
          <w:tcPr>
            <w:tcW w:w="1275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12-бальна</w:t>
            </w:r>
          </w:p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шкала оцінювання</w:t>
            </w:r>
          </w:p>
        </w:tc>
        <w:tc>
          <w:tcPr>
            <w:tcW w:w="1418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200-бальна</w:t>
            </w:r>
          </w:p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шкала оцінювання</w:t>
            </w:r>
          </w:p>
        </w:tc>
        <w:tc>
          <w:tcPr>
            <w:tcW w:w="595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 оцінювання</w:t>
            </w:r>
          </w:p>
        </w:tc>
      </w:tr>
      <w:tr w:rsidR="00063644" w:rsidRPr="002C1728" w:rsidTr="00EA5EE2">
        <w:tc>
          <w:tcPr>
            <w:tcW w:w="1277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200</w:t>
            </w:r>
          </w:p>
        </w:tc>
        <w:tc>
          <w:tcPr>
            <w:tcW w:w="5953" w:type="dxa"/>
            <w:vAlign w:val="center"/>
          </w:tcPr>
          <w:p w:rsidR="00063644" w:rsidRDefault="00D0378A" w:rsidP="0067701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Яскр</w:t>
            </w:r>
            <w:r w:rsidR="00873A67">
              <w:rPr>
                <w:lang w:val="uk-UA"/>
              </w:rPr>
              <w:t>аве та виразне виконання творів різних за характерами</w:t>
            </w:r>
            <w:r>
              <w:rPr>
                <w:lang w:val="uk-UA"/>
              </w:rPr>
              <w:t xml:space="preserve">. Володіння основними засобами, які відповідають специфіці </w:t>
            </w:r>
            <w:proofErr w:type="spellStart"/>
            <w:r>
              <w:rPr>
                <w:lang w:val="uk-UA"/>
              </w:rPr>
              <w:t>звуковидобува</w:t>
            </w:r>
            <w:r w:rsidR="00873A67">
              <w:rPr>
                <w:lang w:val="uk-UA"/>
              </w:rPr>
              <w:t>ння</w:t>
            </w:r>
            <w:proofErr w:type="spellEnd"/>
            <w:r w:rsidR="00873A67">
              <w:rPr>
                <w:lang w:val="uk-UA"/>
              </w:rPr>
              <w:t>.</w:t>
            </w:r>
            <w:r>
              <w:rPr>
                <w:lang w:val="uk-UA"/>
              </w:rPr>
              <w:t xml:space="preserve"> Єдність</w:t>
            </w:r>
            <w:r w:rsidR="00873A67">
              <w:rPr>
                <w:lang w:val="uk-UA"/>
              </w:rPr>
              <w:t xml:space="preserve"> технічної та</w:t>
            </w:r>
            <w:r>
              <w:rPr>
                <w:lang w:val="uk-UA"/>
              </w:rPr>
              <w:t xml:space="preserve"> </w:t>
            </w:r>
            <w:r w:rsidR="00873A67">
              <w:rPr>
                <w:lang w:val="uk-UA"/>
              </w:rPr>
              <w:t>емоційної гри, яка спрямована</w:t>
            </w:r>
            <w:r>
              <w:rPr>
                <w:lang w:val="uk-UA"/>
              </w:rPr>
              <w:t xml:space="preserve"> на розкриття художнього образу. Багатогранність динамічних відтінків, </w:t>
            </w:r>
            <w:proofErr w:type="spellStart"/>
            <w:r>
              <w:rPr>
                <w:lang w:val="uk-UA"/>
              </w:rPr>
              <w:t>метроритмічна</w:t>
            </w:r>
            <w:proofErr w:type="spellEnd"/>
            <w:r>
              <w:rPr>
                <w:lang w:val="uk-UA"/>
              </w:rPr>
              <w:t xml:space="preserve"> точність.</w:t>
            </w:r>
          </w:p>
        </w:tc>
      </w:tr>
      <w:tr w:rsidR="00063644" w:rsidRPr="00CD676A" w:rsidTr="00EA5EE2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190,5</w:t>
            </w:r>
            <w:r w:rsidR="00063644">
              <w:rPr>
                <w:lang w:val="uk-UA"/>
              </w:rPr>
              <w:t xml:space="preserve"> - 19</w:t>
            </w:r>
            <w:r>
              <w:rPr>
                <w:lang w:val="uk-UA"/>
              </w:rPr>
              <w:t>9</w:t>
            </w:r>
          </w:p>
        </w:tc>
        <w:tc>
          <w:tcPr>
            <w:tcW w:w="5953" w:type="dxa"/>
            <w:vAlign w:val="center"/>
          </w:tcPr>
          <w:p w:rsidR="00063644" w:rsidRDefault="00892E39" w:rsidP="008009F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Впевнене технічне виконання складної програми. Почуття</w:t>
            </w:r>
            <w:r w:rsidR="00533C36">
              <w:rPr>
                <w:lang w:val="uk-UA"/>
              </w:rPr>
              <w:t xml:space="preserve"> стилю, цілісність форми</w:t>
            </w:r>
            <w:r>
              <w:rPr>
                <w:lang w:val="uk-UA"/>
              </w:rPr>
              <w:t xml:space="preserve"> твору. Відчуття художнього </w:t>
            </w:r>
            <w:r w:rsidR="00BF0CA3">
              <w:rPr>
                <w:lang w:val="uk-UA"/>
              </w:rPr>
              <w:t xml:space="preserve"> звукового процесу, виразне інт</w:t>
            </w:r>
            <w:r w:rsidR="00533C36">
              <w:rPr>
                <w:lang w:val="uk-UA"/>
              </w:rPr>
              <w:t xml:space="preserve">онування. Виконання </w:t>
            </w:r>
            <w:r w:rsidR="00BF0CA3">
              <w:rPr>
                <w:lang w:val="uk-UA"/>
              </w:rPr>
              <w:t xml:space="preserve"> творів</w:t>
            </w:r>
            <w:r w:rsidR="00533C36">
              <w:rPr>
                <w:lang w:val="uk-UA"/>
              </w:rPr>
              <w:t xml:space="preserve"> крупної форми з відтворенням всіх особливостей </w:t>
            </w:r>
            <w:proofErr w:type="spellStart"/>
            <w:r w:rsidR="00533C36">
              <w:rPr>
                <w:lang w:val="uk-UA"/>
              </w:rPr>
              <w:t>формобудуванняння</w:t>
            </w:r>
            <w:proofErr w:type="spellEnd"/>
            <w:r w:rsidR="00533C36">
              <w:rPr>
                <w:lang w:val="uk-UA"/>
              </w:rPr>
              <w:t>,</w:t>
            </w:r>
            <w:r w:rsidR="00642597">
              <w:rPr>
                <w:lang w:val="uk-UA"/>
              </w:rPr>
              <w:t xml:space="preserve"> у яскраво вираженому артикуляційному, ритмічному та динамічному звучанні. Вільне володіння інструментом.</w:t>
            </w:r>
          </w:p>
        </w:tc>
      </w:tr>
      <w:tr w:rsidR="00063644" w:rsidRPr="007C464C" w:rsidTr="00EA5EE2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  <w:r w:rsidR="00063644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="00063644">
              <w:rPr>
                <w:lang w:val="uk-UA"/>
              </w:rPr>
              <w:t xml:space="preserve"> 18</w:t>
            </w:r>
            <w:r>
              <w:rPr>
                <w:lang w:val="uk-UA"/>
              </w:rPr>
              <w:t>9,5</w:t>
            </w:r>
          </w:p>
        </w:tc>
        <w:tc>
          <w:tcPr>
            <w:tcW w:w="5953" w:type="dxa"/>
            <w:vAlign w:val="center"/>
          </w:tcPr>
          <w:p w:rsidR="00063644" w:rsidRDefault="007C464C" w:rsidP="001275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Володіння прийомами гри, що підпорядковано</w:t>
            </w:r>
            <w:r w:rsidR="00870422">
              <w:rPr>
                <w:lang w:val="uk-UA"/>
              </w:rPr>
              <w:t xml:space="preserve"> інтерпретації художнього змісту.</w:t>
            </w:r>
            <w:r w:rsidR="0013408E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Виразне виконання творів та цілісність форми.</w:t>
            </w:r>
            <w:r w:rsidR="00870422">
              <w:rPr>
                <w:lang w:val="uk-UA"/>
              </w:rPr>
              <w:t xml:space="preserve"> Стійкість темпу</w:t>
            </w:r>
            <w:r>
              <w:rPr>
                <w:lang w:val="uk-UA"/>
              </w:rPr>
              <w:t>,</w:t>
            </w:r>
            <w:r w:rsidR="00870422">
              <w:rPr>
                <w:lang w:val="uk-UA"/>
              </w:rPr>
              <w:t xml:space="preserve"> </w:t>
            </w:r>
            <w:proofErr w:type="spellStart"/>
            <w:r w:rsidR="00870422">
              <w:rPr>
                <w:lang w:val="uk-UA"/>
              </w:rPr>
              <w:t>метроритмічна</w:t>
            </w:r>
            <w:proofErr w:type="spellEnd"/>
            <w:r w:rsidR="00870422">
              <w:rPr>
                <w:lang w:val="uk-UA"/>
              </w:rPr>
              <w:t xml:space="preserve"> пульсація. Контроль за розвитком динаміки, </w:t>
            </w:r>
            <w:proofErr w:type="spellStart"/>
            <w:r w:rsidR="00870422">
              <w:rPr>
                <w:lang w:val="uk-UA"/>
              </w:rPr>
              <w:t>скоординованість</w:t>
            </w:r>
            <w:proofErr w:type="spellEnd"/>
            <w:r w:rsidR="00870422">
              <w:rPr>
                <w:lang w:val="uk-UA"/>
              </w:rPr>
              <w:t xml:space="preserve"> рухів рук. Свобода ігрового апарату.</w:t>
            </w:r>
          </w:p>
        </w:tc>
      </w:tr>
      <w:tr w:rsidR="00063644" w:rsidRPr="0084775E" w:rsidTr="00EA5EE2">
        <w:tc>
          <w:tcPr>
            <w:tcW w:w="1277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171,5</w:t>
            </w:r>
            <w:r w:rsidR="00063644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80</w:t>
            </w:r>
          </w:p>
        </w:tc>
        <w:tc>
          <w:tcPr>
            <w:tcW w:w="5953" w:type="dxa"/>
            <w:vAlign w:val="center"/>
          </w:tcPr>
          <w:p w:rsidR="00063644" w:rsidRDefault="002014A6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Добре виконання  музичних творів. Володіння різноманітними штрихами, тембровими засобами виразності. Чистота артикуляції, ритміч</w:t>
            </w:r>
            <w:bookmarkStart w:id="0" w:name="_GoBack"/>
            <w:bookmarkEnd w:id="0"/>
            <w:r>
              <w:rPr>
                <w:lang w:val="uk-UA"/>
              </w:rPr>
              <w:t>на точність. Але виконавські засоби виразності не розкрили авторський задум.</w:t>
            </w:r>
          </w:p>
        </w:tc>
      </w:tr>
      <w:tr w:rsidR="00063644" w:rsidRPr="0084775E" w:rsidTr="00EA5EE2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063644" w:rsidRDefault="004D0EED" w:rsidP="00AC74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  <w:r w:rsidR="00063644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="00063644">
              <w:rPr>
                <w:lang w:val="uk-UA"/>
              </w:rPr>
              <w:t xml:space="preserve"> 1</w:t>
            </w:r>
            <w:r>
              <w:rPr>
                <w:lang w:val="uk-UA"/>
              </w:rPr>
              <w:t>70,5</w:t>
            </w:r>
          </w:p>
        </w:tc>
        <w:tc>
          <w:tcPr>
            <w:tcW w:w="5953" w:type="dxa"/>
            <w:vAlign w:val="center"/>
          </w:tcPr>
          <w:p w:rsidR="00063644" w:rsidRDefault="009919F6" w:rsidP="001275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Добре виконання програми. Емоційна зосередженість на ладо-інтонаційній стороні звучання, контроль за штриховою лінією в єдності з правильним відтворенням мелодії  та точністю темпу і ритму. Бракує</w:t>
            </w:r>
            <w:r w:rsidR="00AB79E4">
              <w:rPr>
                <w:lang w:val="uk-UA"/>
              </w:rPr>
              <w:t xml:space="preserve"> цілісності форми та </w:t>
            </w:r>
            <w:r>
              <w:rPr>
                <w:lang w:val="uk-UA"/>
              </w:rPr>
              <w:t xml:space="preserve"> індивідуальності виконання.</w:t>
            </w:r>
          </w:p>
        </w:tc>
      </w:tr>
      <w:tr w:rsidR="00063644" w:rsidRPr="0084775E" w:rsidTr="00EA5EE2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152,5</w:t>
            </w:r>
            <w:r w:rsidR="00063644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61</w:t>
            </w:r>
          </w:p>
        </w:tc>
        <w:tc>
          <w:tcPr>
            <w:tcW w:w="5953" w:type="dxa"/>
            <w:vAlign w:val="center"/>
          </w:tcPr>
          <w:p w:rsidR="00063644" w:rsidRDefault="009919F6" w:rsidP="009919F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вико</w:t>
            </w:r>
            <w:r w:rsidR="00AB79E4">
              <w:rPr>
                <w:lang w:val="uk-UA"/>
              </w:rPr>
              <w:t>нана стабільно, без зупинок. Гра не дуже емоційна, не стійкий метро ритм. Виконавець обмежує</w:t>
            </w:r>
            <w:r>
              <w:rPr>
                <w:lang w:val="uk-UA"/>
              </w:rPr>
              <w:t xml:space="preserve"> </w:t>
            </w:r>
            <w:r w:rsidR="00AB79E4">
              <w:rPr>
                <w:lang w:val="uk-UA"/>
              </w:rPr>
              <w:t>свою гру використанням різних прийомів гри.</w:t>
            </w:r>
            <w:r w:rsidR="0013408E">
              <w:rPr>
                <w:lang w:val="uk-UA"/>
              </w:rPr>
              <w:t xml:space="preserve"> </w:t>
            </w:r>
            <w:r w:rsidR="00AB79E4">
              <w:rPr>
                <w:lang w:val="uk-UA"/>
              </w:rPr>
              <w:t>До кінця не розкривається художній образ твору.</w:t>
            </w:r>
          </w:p>
        </w:tc>
      </w:tr>
      <w:tr w:rsidR="00063644" w:rsidRPr="0084775E" w:rsidTr="00EA5EE2">
        <w:tc>
          <w:tcPr>
            <w:tcW w:w="1277" w:type="dxa"/>
            <w:vMerge w:val="restart"/>
            <w:vAlign w:val="center"/>
          </w:tcPr>
          <w:p w:rsidR="00063644" w:rsidRDefault="00DC2096" w:rsidP="00063644">
            <w:pPr>
              <w:pStyle w:val="a3"/>
              <w:jc w:val="center"/>
              <w:rPr>
                <w:lang w:val="uk-UA"/>
              </w:rPr>
            </w:pPr>
            <w:r w:rsidRPr="0012754D">
              <w:rPr>
                <w:rFonts w:asciiTheme="minorHAnsi" w:hAnsiTheme="minorHAnsi"/>
                <w:sz w:val="22"/>
                <w:lang w:val="uk-UA"/>
              </w:rPr>
              <w:br w:type="page"/>
            </w:r>
            <w:r w:rsidR="00063644">
              <w:rPr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063644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52</w:t>
            </w:r>
          </w:p>
        </w:tc>
        <w:tc>
          <w:tcPr>
            <w:tcW w:w="5953" w:type="dxa"/>
            <w:vAlign w:val="center"/>
          </w:tcPr>
          <w:p w:rsidR="00063644" w:rsidRDefault="00AB79E4" w:rsidP="004B572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виконана без зупинок</w:t>
            </w:r>
            <w:r w:rsidR="00FD22B3">
              <w:rPr>
                <w:lang w:val="uk-UA"/>
              </w:rPr>
              <w:t>.</w:t>
            </w:r>
            <w:r>
              <w:rPr>
                <w:lang w:val="uk-UA"/>
              </w:rPr>
              <w:t xml:space="preserve"> Бракує різноманітності в штрихах, у динамічних відтінках. Не всі прийоми гри відповідають технічним вимогам. Скутість виконавського апарату.</w:t>
            </w:r>
          </w:p>
        </w:tc>
      </w:tr>
      <w:tr w:rsidR="00063644" w:rsidRPr="0084775E" w:rsidTr="00EA5EE2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4D0EED">
              <w:rPr>
                <w:lang w:val="uk-UA"/>
              </w:rPr>
              <w:t>,5</w:t>
            </w:r>
            <w:r>
              <w:rPr>
                <w:lang w:val="uk-UA"/>
              </w:rPr>
              <w:t xml:space="preserve"> - 14</w:t>
            </w:r>
            <w:r w:rsidR="004D0EED">
              <w:rPr>
                <w:lang w:val="uk-UA"/>
              </w:rPr>
              <w:t>2</w:t>
            </w:r>
          </w:p>
        </w:tc>
        <w:tc>
          <w:tcPr>
            <w:tcW w:w="5953" w:type="dxa"/>
            <w:vAlign w:val="center"/>
          </w:tcPr>
          <w:p w:rsidR="00063644" w:rsidRDefault="00B60F68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79E4">
              <w:rPr>
                <w:lang w:val="uk-UA"/>
              </w:rPr>
              <w:t>рограма виконується до кінця, ал</w:t>
            </w:r>
            <w:r>
              <w:rPr>
                <w:lang w:val="uk-UA"/>
              </w:rPr>
              <w:t>е з текстовими помилками</w:t>
            </w:r>
            <w:r w:rsidR="00AB79E4">
              <w:rPr>
                <w:lang w:val="uk-UA"/>
              </w:rPr>
              <w:t xml:space="preserve"> та невисоким рівнем технічного розвитку. Неякісне </w:t>
            </w:r>
            <w:proofErr w:type="spellStart"/>
            <w:r w:rsidR="00AB79E4">
              <w:rPr>
                <w:lang w:val="uk-UA"/>
              </w:rPr>
              <w:t>звуковидобування</w:t>
            </w:r>
            <w:proofErr w:type="spellEnd"/>
            <w:r w:rsidR="00AB79E4">
              <w:rPr>
                <w:lang w:val="uk-UA"/>
              </w:rPr>
              <w:t xml:space="preserve">, фразування обмежується дрібними побудовами. </w:t>
            </w:r>
            <w:r w:rsidR="00A667A0">
              <w:rPr>
                <w:lang w:val="uk-UA"/>
              </w:rPr>
              <w:t>Недостатня сценічна витримка.</w:t>
            </w:r>
          </w:p>
        </w:tc>
      </w:tr>
    </w:tbl>
    <w:p w:rsidR="00B60F68" w:rsidRDefault="00B60F68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5"/>
        <w:gridCol w:w="1293"/>
        <w:gridCol w:w="1276"/>
        <w:gridCol w:w="5953"/>
      </w:tblGrid>
      <w:tr w:rsidR="00063644" w:rsidRPr="0084775E" w:rsidTr="008646E7">
        <w:tc>
          <w:tcPr>
            <w:tcW w:w="122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  <w:r w:rsidR="00063644">
              <w:rPr>
                <w:lang w:val="uk-UA"/>
              </w:rPr>
              <w:t xml:space="preserve"> - 13</w:t>
            </w:r>
            <w:r>
              <w:rPr>
                <w:lang w:val="uk-UA"/>
              </w:rPr>
              <w:t>3</w:t>
            </w:r>
          </w:p>
        </w:tc>
        <w:tc>
          <w:tcPr>
            <w:tcW w:w="5953" w:type="dxa"/>
            <w:vAlign w:val="center"/>
          </w:tcPr>
          <w:p w:rsidR="00063644" w:rsidRDefault="00A667A0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r w:rsidR="00B60F68">
              <w:rPr>
                <w:lang w:val="uk-UA"/>
              </w:rPr>
              <w:t xml:space="preserve">лабке </w:t>
            </w:r>
            <w:r>
              <w:rPr>
                <w:lang w:val="uk-UA"/>
              </w:rPr>
              <w:t>викон</w:t>
            </w:r>
            <w:r w:rsidR="0048587E">
              <w:rPr>
                <w:lang w:val="uk-UA"/>
              </w:rPr>
              <w:t>ання програми, але зіграна до кінця. Не всі прийоми гри відповідають технічним вимогам.</w:t>
            </w:r>
            <w:r>
              <w:rPr>
                <w:lang w:val="uk-UA"/>
              </w:rPr>
              <w:t xml:space="preserve"> </w:t>
            </w:r>
            <w:r w:rsidR="0048587E">
              <w:rPr>
                <w:lang w:val="uk-UA"/>
              </w:rPr>
              <w:t xml:space="preserve"> Недостатній</w:t>
            </w:r>
            <w:r>
              <w:rPr>
                <w:lang w:val="uk-UA"/>
              </w:rPr>
              <w:t xml:space="preserve"> слуховий контроль, емоційна скутість.</w:t>
            </w:r>
            <w:r w:rsidR="00B60F68">
              <w:rPr>
                <w:lang w:val="uk-UA"/>
              </w:rPr>
              <w:t xml:space="preserve"> Відсутня продуманість фразування та динамічного плану.</w:t>
            </w:r>
          </w:p>
        </w:tc>
      </w:tr>
      <w:tr w:rsidR="00063644" w:rsidRPr="0084775E" w:rsidTr="008646E7">
        <w:tc>
          <w:tcPr>
            <w:tcW w:w="1225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118</w:t>
            </w:r>
            <w:r w:rsidR="00063644">
              <w:rPr>
                <w:lang w:val="uk-UA"/>
              </w:rPr>
              <w:t xml:space="preserve">  - 123</w:t>
            </w:r>
          </w:p>
        </w:tc>
        <w:tc>
          <w:tcPr>
            <w:tcW w:w="5953" w:type="dxa"/>
            <w:vAlign w:val="center"/>
          </w:tcPr>
          <w:p w:rsidR="00063644" w:rsidRDefault="00B60F68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програми на низькому рівні. Слабке знання музичного тексту. Слабка технічна підготовка. Відсутність художньо-образного мислення. Скутість ігрового апарату. </w:t>
            </w:r>
            <w:r w:rsidR="00A46C77">
              <w:rPr>
                <w:lang w:val="uk-UA"/>
              </w:rPr>
              <w:t>Гра в занижених темпах.</w:t>
            </w:r>
          </w:p>
        </w:tc>
      </w:tr>
      <w:tr w:rsidR="00063644" w:rsidRPr="0084775E" w:rsidTr="008646E7">
        <w:tc>
          <w:tcPr>
            <w:tcW w:w="1225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63644" w:rsidRDefault="004D0EED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  <w:r w:rsidR="00063644">
              <w:rPr>
                <w:lang w:val="uk-UA"/>
              </w:rPr>
              <w:t xml:space="preserve"> -</w:t>
            </w:r>
            <w:r>
              <w:rPr>
                <w:lang w:val="uk-UA"/>
              </w:rPr>
              <w:t>117</w:t>
            </w:r>
          </w:p>
        </w:tc>
        <w:tc>
          <w:tcPr>
            <w:tcW w:w="5953" w:type="dxa"/>
            <w:vAlign w:val="center"/>
          </w:tcPr>
          <w:p w:rsidR="00063644" w:rsidRDefault="00041E76" w:rsidP="00B2013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на дуже низькому рівні. Слабке володіння інструментом. Погане знання музичного тексту напам'ять, відсутність форми твору, фразування, динамічного плану, технічної підготовки.</w:t>
            </w:r>
          </w:p>
        </w:tc>
      </w:tr>
      <w:tr w:rsidR="00063644" w:rsidRPr="0084775E" w:rsidTr="008646E7">
        <w:tc>
          <w:tcPr>
            <w:tcW w:w="1225" w:type="dxa"/>
            <w:vAlign w:val="center"/>
          </w:tcPr>
          <w:p w:rsidR="00063644" w:rsidRDefault="00F008B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D0EED">
              <w:rPr>
                <w:lang w:val="uk-UA"/>
              </w:rPr>
              <w:t>06 - 11</w:t>
            </w:r>
            <w:r>
              <w:rPr>
                <w:lang w:val="uk-UA"/>
              </w:rPr>
              <w:t>1</w:t>
            </w:r>
          </w:p>
        </w:tc>
        <w:tc>
          <w:tcPr>
            <w:tcW w:w="5953" w:type="dxa"/>
            <w:vAlign w:val="center"/>
          </w:tcPr>
          <w:p w:rsidR="00063644" w:rsidRDefault="00041E76" w:rsidP="00041E7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на елементарному рівні. Відсутність  художньо-образного мислення, слабке знання музичного твору напам'ять.</w:t>
            </w:r>
            <w:r w:rsidR="0013408E">
              <w:rPr>
                <w:lang w:val="uk-UA"/>
              </w:rPr>
              <w:t xml:space="preserve"> </w:t>
            </w:r>
            <w:proofErr w:type="spellStart"/>
            <w:r w:rsidR="0048587E">
              <w:t>Одноман</w:t>
            </w:r>
            <w:proofErr w:type="spellEnd"/>
            <w:r w:rsidR="0048587E">
              <w:rPr>
                <w:lang w:val="uk-UA"/>
              </w:rPr>
              <w:t>і</w:t>
            </w:r>
            <w:proofErr w:type="spellStart"/>
            <w:r w:rsidR="0048587E">
              <w:t>тн</w:t>
            </w:r>
            <w:proofErr w:type="spellEnd"/>
            <w:r w:rsidR="0048587E">
              <w:rPr>
                <w:lang w:val="uk-UA"/>
              </w:rPr>
              <w:t>і</w:t>
            </w:r>
            <w:proofErr w:type="spellStart"/>
            <w:r w:rsidR="0048587E">
              <w:t>сть</w:t>
            </w:r>
            <w:proofErr w:type="spellEnd"/>
            <w:r w:rsidR="0048587E">
              <w:rPr>
                <w:lang w:val="uk-UA"/>
              </w:rPr>
              <w:t xml:space="preserve"> штрихів та прийомів гри.</w:t>
            </w:r>
            <w:r>
              <w:rPr>
                <w:lang w:val="uk-UA"/>
              </w:rPr>
              <w:t xml:space="preserve"> Невміння побудувати форму твору.</w:t>
            </w:r>
          </w:p>
        </w:tc>
      </w:tr>
    </w:tbl>
    <w:p w:rsidR="00063644" w:rsidRPr="00063644" w:rsidRDefault="00063644" w:rsidP="00063644">
      <w:pPr>
        <w:pStyle w:val="a3"/>
        <w:rPr>
          <w:lang w:val="uk-UA"/>
        </w:rPr>
      </w:pPr>
    </w:p>
    <w:sectPr w:rsidR="00063644" w:rsidRPr="00063644" w:rsidSect="000636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44"/>
    <w:rsid w:val="00010FA0"/>
    <w:rsid w:val="00021A47"/>
    <w:rsid w:val="00041E76"/>
    <w:rsid w:val="00063644"/>
    <w:rsid w:val="000878CB"/>
    <w:rsid w:val="0012754D"/>
    <w:rsid w:val="0013408E"/>
    <w:rsid w:val="0013512B"/>
    <w:rsid w:val="00193557"/>
    <w:rsid w:val="001E0BE2"/>
    <w:rsid w:val="002014A6"/>
    <w:rsid w:val="002506D8"/>
    <w:rsid w:val="002761B2"/>
    <w:rsid w:val="00292880"/>
    <w:rsid w:val="002C1728"/>
    <w:rsid w:val="00306D6C"/>
    <w:rsid w:val="0033105D"/>
    <w:rsid w:val="003D4E55"/>
    <w:rsid w:val="004717EC"/>
    <w:rsid w:val="0048587E"/>
    <w:rsid w:val="004B572A"/>
    <w:rsid w:val="004D0EED"/>
    <w:rsid w:val="00503E7E"/>
    <w:rsid w:val="00533C36"/>
    <w:rsid w:val="005B1E70"/>
    <w:rsid w:val="00642597"/>
    <w:rsid w:val="0067701A"/>
    <w:rsid w:val="006B5881"/>
    <w:rsid w:val="00731DBB"/>
    <w:rsid w:val="00733CDC"/>
    <w:rsid w:val="007B6E82"/>
    <w:rsid w:val="007C464C"/>
    <w:rsid w:val="007D3010"/>
    <w:rsid w:val="007F4052"/>
    <w:rsid w:val="008009FA"/>
    <w:rsid w:val="008372EF"/>
    <w:rsid w:val="0084775E"/>
    <w:rsid w:val="008646E7"/>
    <w:rsid w:val="00870422"/>
    <w:rsid w:val="00873A67"/>
    <w:rsid w:val="00892E39"/>
    <w:rsid w:val="00896E01"/>
    <w:rsid w:val="008F7F57"/>
    <w:rsid w:val="00967D34"/>
    <w:rsid w:val="009919F6"/>
    <w:rsid w:val="00A04FE5"/>
    <w:rsid w:val="00A22099"/>
    <w:rsid w:val="00A46C77"/>
    <w:rsid w:val="00A667A0"/>
    <w:rsid w:val="00AB79E4"/>
    <w:rsid w:val="00AC7494"/>
    <w:rsid w:val="00AE65AF"/>
    <w:rsid w:val="00B20132"/>
    <w:rsid w:val="00B60F68"/>
    <w:rsid w:val="00B80B22"/>
    <w:rsid w:val="00BF0CA3"/>
    <w:rsid w:val="00C22683"/>
    <w:rsid w:val="00CC0284"/>
    <w:rsid w:val="00CC1FA7"/>
    <w:rsid w:val="00CC7B9E"/>
    <w:rsid w:val="00CD676A"/>
    <w:rsid w:val="00CF3975"/>
    <w:rsid w:val="00D0378A"/>
    <w:rsid w:val="00D16899"/>
    <w:rsid w:val="00D35308"/>
    <w:rsid w:val="00DC2096"/>
    <w:rsid w:val="00DF422B"/>
    <w:rsid w:val="00E53952"/>
    <w:rsid w:val="00E63F9F"/>
    <w:rsid w:val="00EA5EE2"/>
    <w:rsid w:val="00F008B5"/>
    <w:rsid w:val="00F50E8E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4CAE"/>
  <w15:docId w15:val="{79B9255D-67D9-43A5-BE9C-A228C8F8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C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63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322E-70E9-4AC9-8728-16E7E03E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Народні Інструменти</cp:lastModifiedBy>
  <cp:revision>19</cp:revision>
  <cp:lastPrinted>2010-07-06T09:36:00Z</cp:lastPrinted>
  <dcterms:created xsi:type="dcterms:W3CDTF">2009-05-19T12:04:00Z</dcterms:created>
  <dcterms:modified xsi:type="dcterms:W3CDTF">2019-04-09T08:47:00Z</dcterms:modified>
</cp:coreProperties>
</file>